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0DCC3">
      <w:pPr>
        <w:pStyle w:val="2"/>
        <w:widowControl/>
        <w:spacing w:beforeAutospacing="0" w:afterAutospacing="0" w:line="630" w:lineRule="atLeast"/>
        <w:rPr>
          <w:rFonts w:hint="default" w:ascii="Times New Roman" w:hAnsi="Times New Roman" w:eastAsia="方正小标宋简体"/>
          <w:sz w:val="44"/>
          <w:szCs w:val="44"/>
        </w:rPr>
      </w:pPr>
      <w:r>
        <w:rPr>
          <w:rFonts w:ascii="仿宋_GB2312" w:hAnsi="仿宋_GB2312" w:eastAsia="仿宋_GB2312" w:cs="仿宋_GB2312"/>
          <w:b w:val="0"/>
          <w:bCs w:val="0"/>
          <w:kern w:val="2"/>
          <w:sz w:val="32"/>
          <w:szCs w:val="32"/>
        </w:rPr>
        <w:t>附件</w:t>
      </w:r>
    </w:p>
    <w:p w14:paraId="30389CDA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67262A33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关于202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4</w:t>
      </w:r>
      <w:r>
        <w:rPr>
          <w:rFonts w:ascii="Times New Roman" w:hAnsi="Times New Roman" w:eastAsia="方正小标宋简体" w:cs="Times New Roman"/>
          <w:sz w:val="44"/>
          <w:szCs w:val="44"/>
        </w:rPr>
        <w:t>年度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湖南</w:t>
      </w:r>
      <w:r>
        <w:rPr>
          <w:rFonts w:ascii="Times New Roman" w:hAnsi="Times New Roman" w:eastAsia="方正小标宋简体" w:cs="Times New Roman"/>
          <w:sz w:val="44"/>
          <w:szCs w:val="44"/>
        </w:rPr>
        <w:t>省科学技术奖</w:t>
      </w:r>
    </w:p>
    <w:p w14:paraId="3BE963A8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拟提名项目的公示</w:t>
      </w:r>
    </w:p>
    <w:p w14:paraId="13FFA083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3E66CC6A">
      <w:pPr>
        <w:pStyle w:val="2"/>
        <w:widowControl/>
        <w:spacing w:beforeAutospacing="0" w:afterAutospacing="0" w:line="630" w:lineRule="atLeast"/>
        <w:ind w:firstLine="640" w:firstLineChars="200"/>
        <w:rPr>
          <w:rFonts w:ascii="仿宋_GB2312" w:hAnsi="仿宋_GB2312" w:eastAsia="仿宋_GB2312" w:cs="仿宋_GB2312"/>
          <w:b w:val="0"/>
          <w:bCs w:val="0"/>
          <w:kern w:val="2"/>
          <w:sz w:val="32"/>
          <w:szCs w:val="32"/>
        </w:rPr>
      </w:pPr>
      <w:bookmarkStart w:id="14" w:name="_GoBack"/>
      <w:r>
        <w:rPr>
          <w:rFonts w:ascii="仿宋_GB2312" w:hAnsi="仿宋_GB2312" w:eastAsia="仿宋_GB2312" w:cs="仿宋_GB2312"/>
          <w:b w:val="0"/>
          <w:bCs w:val="0"/>
          <w:kern w:val="2"/>
          <w:sz w:val="32"/>
          <w:szCs w:val="32"/>
        </w:rPr>
        <w:t>根据湖南省科学技术厅《关于做好2024年度湖南省科学技术奖提名工作的通知》（湘科发〔2025〕95号），经申报符合性审查，拟提名“</w:t>
      </w:r>
      <w:bookmarkStart w:id="0" w:name="OLE_LINK263"/>
      <w:bookmarkStart w:id="1" w:name="OLE_LINK264"/>
      <w:bookmarkStart w:id="2" w:name="OLE_LINK47"/>
      <w:bookmarkStart w:id="3" w:name="OLE_LINK131"/>
      <w:bookmarkStart w:id="4" w:name="OLE_LINK246"/>
      <w:bookmarkStart w:id="5" w:name="OLE_LINK46"/>
      <w:bookmarkStart w:id="6" w:name="OLE_LINK244"/>
      <w:bookmarkStart w:id="7" w:name="OLE_LINK245"/>
      <w:r>
        <w:rPr>
          <w:rFonts w:ascii="仿宋_GB2312" w:hAnsi="仿宋_GB2312" w:eastAsia="仿宋_GB2312" w:cs="仿宋_GB2312"/>
          <w:b w:val="0"/>
          <w:bCs w:val="0"/>
          <w:kern w:val="2"/>
          <w:sz w:val="32"/>
          <w:szCs w:val="32"/>
        </w:rPr>
        <w:t>固体钾盐矿</w:t>
      </w:r>
      <w:bookmarkEnd w:id="0"/>
      <w:bookmarkEnd w:id="1"/>
      <w:r>
        <w:rPr>
          <w:rFonts w:ascii="仿宋_GB2312" w:hAnsi="仿宋_GB2312" w:eastAsia="仿宋_GB2312" w:cs="仿宋_GB2312"/>
          <w:b w:val="0"/>
          <w:bCs w:val="0"/>
          <w:kern w:val="2"/>
          <w:sz w:val="32"/>
          <w:szCs w:val="32"/>
        </w:rPr>
        <w:t>绿色高效加工关键技术及示范</w:t>
      </w:r>
      <w:bookmarkEnd w:id="2"/>
      <w:bookmarkEnd w:id="3"/>
      <w:bookmarkEnd w:id="4"/>
      <w:bookmarkEnd w:id="5"/>
      <w:bookmarkEnd w:id="6"/>
      <w:bookmarkEnd w:id="7"/>
      <w:r>
        <w:rPr>
          <w:rFonts w:ascii="仿宋_GB2312" w:hAnsi="仿宋_GB2312" w:eastAsia="仿宋_GB2312" w:cs="仿宋_GB2312"/>
          <w:b w:val="0"/>
          <w:bCs w:val="0"/>
          <w:kern w:val="2"/>
          <w:sz w:val="32"/>
          <w:szCs w:val="32"/>
        </w:rPr>
        <w:t>”项目申报2024年度湖南省科学技术奖。按照要求，现将拟提名项目相关情况公示如下：</w:t>
      </w:r>
    </w:p>
    <w:bookmarkEnd w:id="14"/>
    <w:p w14:paraId="2E163129"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项目名称</w:t>
      </w:r>
      <w:r>
        <w:rPr>
          <w:rFonts w:hint="eastAsia" w:ascii="仿宋_GB2312" w:hAnsi="仿宋_GB2312" w:eastAsia="仿宋_GB2312" w:cs="仿宋_GB2312"/>
          <w:sz w:val="32"/>
          <w:szCs w:val="32"/>
        </w:rPr>
        <w:t>：固体钾盐矿绿色高效加工关键技术及示范</w:t>
      </w:r>
    </w:p>
    <w:p w14:paraId="738737FB"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提名单位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：中蓝长化工程科技有限公司</w:t>
      </w:r>
    </w:p>
    <w:p w14:paraId="03E06BB1"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拟提名等级：</w:t>
      </w:r>
      <w:r>
        <w:rPr>
          <w:rFonts w:hint="eastAsia" w:ascii="仿宋_GB2312" w:hAnsi="仿宋_GB2312" w:eastAsia="仿宋_GB2312" w:cs="仿宋_GB2312"/>
          <w:sz w:val="32"/>
          <w:szCs w:val="32"/>
        </w:rPr>
        <w:t>湖南省科学技术奖——科技进步一等奖</w:t>
      </w:r>
    </w:p>
    <w:p w14:paraId="63085D46"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主要完成单位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：中蓝长化工程科技有限公司</w:t>
      </w:r>
    </w:p>
    <w:p w14:paraId="647B0F33">
      <w:pPr>
        <w:spacing w:line="560" w:lineRule="exact"/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武汉理工大学</w:t>
      </w:r>
    </w:p>
    <w:p w14:paraId="7D1340FE">
      <w:pPr>
        <w:spacing w:line="560" w:lineRule="exact"/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天津科技大学</w:t>
      </w:r>
    </w:p>
    <w:p w14:paraId="21FD6450"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主要完成人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bookmarkStart w:id="8" w:name="OLE_LINK69"/>
      <w:bookmarkStart w:id="9" w:name="OLE_LINK70"/>
      <w:r>
        <w:rPr>
          <w:rFonts w:hint="eastAsia" w:ascii="仿宋_GB2312" w:hAnsi="仿宋_GB2312" w:eastAsia="仿宋_GB2312" w:cs="仿宋_GB2312"/>
          <w:sz w:val="32"/>
          <w:szCs w:val="32"/>
        </w:rPr>
        <w:t>孙成高、甘顺鹏、季荣、贾菲菲、王彦飞、谢超、于海、易浩、蒋世鹏、</w:t>
      </w:r>
      <w:bookmarkEnd w:id="8"/>
      <w:bookmarkEnd w:id="9"/>
      <w:r>
        <w:rPr>
          <w:rFonts w:hint="eastAsia" w:ascii="仿宋_GB2312" w:hAnsi="仿宋_GB2312" w:eastAsia="仿宋_GB2312" w:cs="仿宋_GB2312"/>
          <w:sz w:val="32"/>
          <w:szCs w:val="32"/>
        </w:rPr>
        <w:t>杨能红、胡勇、夏适</w:t>
      </w:r>
    </w:p>
    <w:p w14:paraId="19EA27E2">
      <w:pPr>
        <w:spacing w:line="560" w:lineRule="exact"/>
        <w:ind w:firstLine="645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提名意见：</w:t>
      </w:r>
      <w:r>
        <w:rPr>
          <w:rFonts w:hint="eastAsia" w:ascii="仿宋_GB2312" w:hAnsi="仿宋_GB2312" w:eastAsia="仿宋_GB2312" w:cs="仿宋_GB2312"/>
          <w:sz w:val="32"/>
          <w:szCs w:val="32"/>
        </w:rPr>
        <w:t>“固体钾盐矿绿色高效加工关键技术及示范”项目团队主要围绕国家粮食安全和钾肥稳产保供任务的战略需要，克服光卤石提取氯化钾传统工艺缺陷，突破我国企业开发境外钾资源面临的钾肥品质差、加工回收率低、尾废排放大、运行成本高等技术瓶颈，分别从光卤石分解结晶的热力学-动力学理论、光卤石控速分解结晶关键技术、绿色高效浮选药剂、速控浮选关键技术、冷分解结晶成套设备等方面开展创新研究，建立基于亚稳态相平衡体系的固体钾盐矿冷分解-结晶-浮选的精细化控制理论，开发光卤石冷分解结晶-速控浮选关键技术，研制成核-结晶过程可控的大型结晶成套设备，发明环保安全且适合于多工况的无酸无油绿色高效捕收剂，建成固体钾盐矿绿色高效加工示范工程，为我国企业开发国外固体钾资源提供了先进适用的技术解决方案，对提高钾肥品质和钾资源回收率、降低钾肥加工成本、减少尾废排放具有重要的现实意义。</w:t>
      </w:r>
    </w:p>
    <w:p w14:paraId="63D8BC94">
      <w:pPr>
        <w:spacing w:line="560" w:lineRule="exact"/>
        <w:ind w:firstLine="1622" w:firstLineChars="507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主要知识产权（含论文、专著、专利）目录</w:t>
      </w:r>
    </w:p>
    <w:tbl>
      <w:tblPr>
        <w:tblStyle w:val="8"/>
        <w:tblW w:w="1004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2270"/>
        <w:gridCol w:w="1134"/>
        <w:gridCol w:w="992"/>
        <w:gridCol w:w="1152"/>
        <w:gridCol w:w="1399"/>
        <w:gridCol w:w="2410"/>
      </w:tblGrid>
      <w:tr w14:paraId="583ABEE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86" w:type="dxa"/>
            <w:vAlign w:val="center"/>
          </w:tcPr>
          <w:p w14:paraId="0CC77686">
            <w:pPr>
              <w:pStyle w:val="3"/>
              <w:snapToGrid w:val="0"/>
              <w:spacing w:line="240" w:lineRule="auto"/>
              <w:ind w:firstLine="0" w:firstLineChars="0"/>
              <w:jc w:val="center"/>
              <w:rPr>
                <w:rFonts w:hint="eastAsia" w:hAnsi="宋体"/>
                <w:sz w:val="18"/>
                <w:szCs w:val="21"/>
              </w:rPr>
            </w:pPr>
            <w:r>
              <w:rPr>
                <w:rFonts w:hint="eastAsia" w:hAnsi="宋体"/>
                <w:sz w:val="18"/>
                <w:szCs w:val="21"/>
              </w:rPr>
              <w:t>序号</w:t>
            </w:r>
          </w:p>
        </w:tc>
        <w:tc>
          <w:tcPr>
            <w:tcW w:w="2270" w:type="dxa"/>
            <w:vAlign w:val="center"/>
          </w:tcPr>
          <w:p w14:paraId="5B1AB6B7">
            <w:pPr>
              <w:pStyle w:val="3"/>
              <w:snapToGrid w:val="0"/>
              <w:spacing w:line="240" w:lineRule="auto"/>
              <w:ind w:firstLine="0" w:firstLineChars="0"/>
              <w:jc w:val="center"/>
              <w:rPr>
                <w:rFonts w:hint="eastAsia" w:hAnsi="宋体"/>
                <w:sz w:val="18"/>
                <w:szCs w:val="21"/>
              </w:rPr>
            </w:pPr>
            <w:r>
              <w:rPr>
                <w:rFonts w:hint="eastAsia" w:hAnsi="宋体"/>
                <w:sz w:val="18"/>
                <w:szCs w:val="21"/>
              </w:rPr>
              <w:t>知识产权名称</w:t>
            </w:r>
          </w:p>
        </w:tc>
        <w:tc>
          <w:tcPr>
            <w:tcW w:w="1134" w:type="dxa"/>
            <w:vAlign w:val="center"/>
          </w:tcPr>
          <w:p w14:paraId="2AE061A0">
            <w:pPr>
              <w:pStyle w:val="3"/>
              <w:snapToGrid w:val="0"/>
              <w:spacing w:line="240" w:lineRule="auto"/>
              <w:ind w:firstLine="0" w:firstLineChars="0"/>
              <w:jc w:val="center"/>
              <w:rPr>
                <w:rFonts w:hint="eastAsia" w:hAnsi="宋体"/>
                <w:sz w:val="18"/>
                <w:szCs w:val="21"/>
              </w:rPr>
            </w:pPr>
            <w:r>
              <w:rPr>
                <w:rFonts w:hint="eastAsia" w:hAnsi="宋体"/>
                <w:sz w:val="18"/>
                <w:szCs w:val="21"/>
              </w:rPr>
              <w:t>知识产权</w:t>
            </w:r>
          </w:p>
          <w:p w14:paraId="7D0DF41D">
            <w:pPr>
              <w:pStyle w:val="3"/>
              <w:snapToGrid w:val="0"/>
              <w:spacing w:line="240" w:lineRule="auto"/>
              <w:ind w:firstLine="0" w:firstLineChars="0"/>
              <w:jc w:val="center"/>
              <w:rPr>
                <w:rFonts w:hint="eastAsia" w:hAnsi="宋体"/>
                <w:sz w:val="18"/>
                <w:szCs w:val="21"/>
              </w:rPr>
            </w:pPr>
            <w:r>
              <w:rPr>
                <w:rFonts w:hint="eastAsia" w:hAnsi="宋体"/>
                <w:sz w:val="18"/>
                <w:szCs w:val="21"/>
              </w:rPr>
              <w:t>类别</w:t>
            </w:r>
          </w:p>
        </w:tc>
        <w:tc>
          <w:tcPr>
            <w:tcW w:w="992" w:type="dxa"/>
            <w:vAlign w:val="center"/>
          </w:tcPr>
          <w:p w14:paraId="1B5AF732">
            <w:pPr>
              <w:pStyle w:val="3"/>
              <w:snapToGrid w:val="0"/>
              <w:spacing w:line="240" w:lineRule="auto"/>
              <w:ind w:firstLine="0" w:firstLineChars="0"/>
              <w:jc w:val="center"/>
              <w:rPr>
                <w:rFonts w:hint="eastAsia" w:hAnsi="宋体"/>
                <w:sz w:val="18"/>
                <w:szCs w:val="21"/>
              </w:rPr>
            </w:pPr>
            <w:r>
              <w:rPr>
                <w:rFonts w:hint="eastAsia" w:hAnsi="宋体"/>
                <w:sz w:val="18"/>
                <w:szCs w:val="21"/>
              </w:rPr>
              <w:t>授权号</w:t>
            </w:r>
          </w:p>
        </w:tc>
        <w:tc>
          <w:tcPr>
            <w:tcW w:w="1152" w:type="dxa"/>
            <w:vAlign w:val="center"/>
          </w:tcPr>
          <w:p w14:paraId="0BC9F9FB">
            <w:pPr>
              <w:pStyle w:val="3"/>
              <w:snapToGrid w:val="0"/>
              <w:spacing w:line="240" w:lineRule="auto"/>
              <w:ind w:firstLine="0" w:firstLineChars="0"/>
              <w:jc w:val="center"/>
              <w:rPr>
                <w:rFonts w:hint="eastAsia" w:hAnsi="宋体"/>
                <w:sz w:val="18"/>
                <w:szCs w:val="21"/>
              </w:rPr>
            </w:pPr>
            <w:r>
              <w:rPr>
                <w:rFonts w:hint="eastAsia" w:hAnsi="宋体"/>
                <w:sz w:val="18"/>
                <w:szCs w:val="21"/>
              </w:rPr>
              <w:t>发表/授权日期</w:t>
            </w:r>
          </w:p>
        </w:tc>
        <w:tc>
          <w:tcPr>
            <w:tcW w:w="1399" w:type="dxa"/>
            <w:vAlign w:val="center"/>
          </w:tcPr>
          <w:p w14:paraId="5E87CA3A">
            <w:pPr>
              <w:pStyle w:val="3"/>
              <w:snapToGrid w:val="0"/>
              <w:spacing w:line="240" w:lineRule="auto"/>
              <w:ind w:firstLine="0" w:firstLineChars="0"/>
              <w:jc w:val="center"/>
              <w:rPr>
                <w:rFonts w:hint="eastAsia" w:hAnsi="宋体"/>
                <w:sz w:val="18"/>
                <w:szCs w:val="21"/>
              </w:rPr>
            </w:pPr>
            <w:r>
              <w:rPr>
                <w:rFonts w:hint="eastAsia" w:hAnsi="宋体"/>
                <w:sz w:val="18"/>
                <w:szCs w:val="21"/>
              </w:rPr>
              <w:t>权利人</w:t>
            </w:r>
          </w:p>
        </w:tc>
        <w:tc>
          <w:tcPr>
            <w:tcW w:w="2410" w:type="dxa"/>
            <w:vAlign w:val="center"/>
          </w:tcPr>
          <w:p w14:paraId="1A660E2E">
            <w:pPr>
              <w:pStyle w:val="3"/>
              <w:snapToGrid w:val="0"/>
              <w:spacing w:line="240" w:lineRule="auto"/>
              <w:ind w:firstLine="0" w:firstLineChars="0"/>
              <w:jc w:val="center"/>
              <w:rPr>
                <w:rFonts w:hint="eastAsia" w:hAnsi="宋体"/>
                <w:sz w:val="18"/>
                <w:szCs w:val="21"/>
              </w:rPr>
            </w:pPr>
            <w:r>
              <w:rPr>
                <w:rFonts w:hint="eastAsia" w:hAnsi="宋体"/>
                <w:sz w:val="18"/>
                <w:szCs w:val="21"/>
              </w:rPr>
              <w:t>作者/发明人</w:t>
            </w:r>
          </w:p>
        </w:tc>
      </w:tr>
      <w:tr w14:paraId="0586FD9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86" w:type="dxa"/>
            <w:vAlign w:val="center"/>
          </w:tcPr>
          <w:p w14:paraId="60BA3C45">
            <w:pPr>
              <w:pStyle w:val="3"/>
              <w:snapToGrid w:val="0"/>
              <w:spacing w:line="240" w:lineRule="auto"/>
              <w:ind w:firstLine="0" w:firstLineChars="0"/>
              <w:jc w:val="center"/>
              <w:rPr>
                <w:rFonts w:hint="eastAsia" w:hAnsi="宋体"/>
                <w:sz w:val="18"/>
                <w:szCs w:val="21"/>
              </w:rPr>
            </w:pPr>
            <w:r>
              <w:rPr>
                <w:rFonts w:hint="eastAsia" w:hAnsi="宋体"/>
                <w:sz w:val="18"/>
                <w:szCs w:val="21"/>
              </w:rPr>
              <w:t>1</w:t>
            </w:r>
          </w:p>
        </w:tc>
        <w:tc>
          <w:tcPr>
            <w:tcW w:w="2270" w:type="dxa"/>
            <w:vAlign w:val="center"/>
          </w:tcPr>
          <w:p w14:paraId="63A6FE2D">
            <w:pPr>
              <w:pStyle w:val="3"/>
              <w:snapToGrid w:val="0"/>
              <w:spacing w:line="240" w:lineRule="auto"/>
              <w:ind w:firstLine="0" w:firstLineChars="0"/>
              <w:rPr>
                <w:rFonts w:hint="eastAsia" w:hAnsi="宋体"/>
                <w:sz w:val="18"/>
                <w:szCs w:val="21"/>
              </w:rPr>
            </w:pPr>
            <w:r>
              <w:rPr>
                <w:rFonts w:hint="eastAsia" w:hAnsi="宋体"/>
                <w:sz w:val="18"/>
                <w:szCs w:val="21"/>
              </w:rPr>
              <w:t>一种利用光卤石矿提取氯化钾的高回收率生产工艺</w:t>
            </w:r>
          </w:p>
        </w:tc>
        <w:tc>
          <w:tcPr>
            <w:tcW w:w="1134" w:type="dxa"/>
            <w:vAlign w:val="center"/>
          </w:tcPr>
          <w:p w14:paraId="1871FFC2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发明专利</w:t>
            </w:r>
          </w:p>
        </w:tc>
        <w:tc>
          <w:tcPr>
            <w:tcW w:w="992" w:type="dxa"/>
            <w:vAlign w:val="center"/>
          </w:tcPr>
          <w:p w14:paraId="686D6F2B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ZL201910840682.X</w:t>
            </w:r>
          </w:p>
        </w:tc>
        <w:tc>
          <w:tcPr>
            <w:tcW w:w="1152" w:type="dxa"/>
            <w:vAlign w:val="center"/>
          </w:tcPr>
          <w:p w14:paraId="494EBF94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2022/4/29</w:t>
            </w:r>
          </w:p>
        </w:tc>
        <w:tc>
          <w:tcPr>
            <w:tcW w:w="1399" w:type="dxa"/>
            <w:vAlign w:val="center"/>
          </w:tcPr>
          <w:p w14:paraId="6D186D60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中蓝长化工程科技有限公司</w:t>
            </w:r>
          </w:p>
        </w:tc>
        <w:tc>
          <w:tcPr>
            <w:tcW w:w="2410" w:type="dxa"/>
            <w:vAlign w:val="center"/>
          </w:tcPr>
          <w:p w14:paraId="5D28E932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甘顺鹏、谢超、余俊、季荣、蒋世鹏、郑贤福、胡勇、罗稳、冯文平</w:t>
            </w:r>
          </w:p>
        </w:tc>
      </w:tr>
      <w:tr w14:paraId="24A8E87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686" w:type="dxa"/>
            <w:vAlign w:val="center"/>
          </w:tcPr>
          <w:p w14:paraId="26BBE001">
            <w:pPr>
              <w:pStyle w:val="3"/>
              <w:snapToGrid w:val="0"/>
              <w:spacing w:line="240" w:lineRule="auto"/>
              <w:ind w:firstLine="0" w:firstLineChars="0"/>
              <w:jc w:val="center"/>
              <w:rPr>
                <w:rFonts w:hint="eastAsia" w:hAnsi="宋体"/>
                <w:sz w:val="18"/>
                <w:szCs w:val="21"/>
              </w:rPr>
            </w:pPr>
            <w:r>
              <w:rPr>
                <w:rFonts w:hint="eastAsia" w:hAnsi="宋体"/>
                <w:sz w:val="18"/>
                <w:szCs w:val="21"/>
              </w:rPr>
              <w:t>2</w:t>
            </w:r>
          </w:p>
        </w:tc>
        <w:tc>
          <w:tcPr>
            <w:tcW w:w="2270" w:type="dxa"/>
            <w:vAlign w:val="center"/>
          </w:tcPr>
          <w:p w14:paraId="108D3ECA">
            <w:pPr>
              <w:pStyle w:val="3"/>
              <w:snapToGrid w:val="0"/>
              <w:spacing w:line="240" w:lineRule="auto"/>
              <w:ind w:firstLine="0" w:firstLineChars="0"/>
              <w:rPr>
                <w:rFonts w:hint="eastAsia" w:hAnsi="宋体"/>
                <w:sz w:val="18"/>
                <w:szCs w:val="21"/>
              </w:rPr>
            </w:pPr>
            <w:r>
              <w:rPr>
                <w:rFonts w:hint="eastAsia" w:hAnsi="宋体"/>
                <w:sz w:val="18"/>
                <w:szCs w:val="21"/>
              </w:rPr>
              <w:t>一种利用光卤石热溶卤水生产氯化钾的方法</w:t>
            </w:r>
          </w:p>
        </w:tc>
        <w:tc>
          <w:tcPr>
            <w:tcW w:w="1134" w:type="dxa"/>
            <w:vAlign w:val="center"/>
          </w:tcPr>
          <w:p w14:paraId="15AE763F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发明专利</w:t>
            </w:r>
          </w:p>
        </w:tc>
        <w:tc>
          <w:tcPr>
            <w:tcW w:w="992" w:type="dxa"/>
            <w:vAlign w:val="center"/>
          </w:tcPr>
          <w:p w14:paraId="60FAFE77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ZL201310144733.8</w:t>
            </w:r>
          </w:p>
        </w:tc>
        <w:tc>
          <w:tcPr>
            <w:tcW w:w="1152" w:type="dxa"/>
            <w:vAlign w:val="center"/>
          </w:tcPr>
          <w:p w14:paraId="1801022F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2014/6/25</w:t>
            </w:r>
          </w:p>
        </w:tc>
        <w:tc>
          <w:tcPr>
            <w:tcW w:w="1399" w:type="dxa"/>
            <w:vAlign w:val="center"/>
          </w:tcPr>
          <w:p w14:paraId="79BD8E93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中蓝长化工程科技有限公司</w:t>
            </w:r>
          </w:p>
        </w:tc>
        <w:tc>
          <w:tcPr>
            <w:tcW w:w="2410" w:type="dxa"/>
            <w:vAlign w:val="center"/>
          </w:tcPr>
          <w:p w14:paraId="7813A4DF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冯跃华、戴斌联、刘小力、陈伟来、杨能红、潘友明、孙成高</w:t>
            </w:r>
          </w:p>
        </w:tc>
      </w:tr>
      <w:tr w14:paraId="6AF4D59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686" w:type="dxa"/>
            <w:vAlign w:val="center"/>
          </w:tcPr>
          <w:p w14:paraId="7EE9DA0A">
            <w:pPr>
              <w:pStyle w:val="3"/>
              <w:snapToGrid w:val="0"/>
              <w:spacing w:line="240" w:lineRule="auto"/>
              <w:ind w:firstLine="0" w:firstLineChars="0"/>
              <w:jc w:val="center"/>
              <w:rPr>
                <w:rFonts w:hint="eastAsia" w:hAnsi="宋体"/>
                <w:sz w:val="18"/>
                <w:szCs w:val="21"/>
              </w:rPr>
            </w:pPr>
            <w:r>
              <w:rPr>
                <w:rFonts w:hint="eastAsia" w:hAnsi="宋体"/>
                <w:sz w:val="18"/>
                <w:szCs w:val="21"/>
              </w:rPr>
              <w:t>3</w:t>
            </w:r>
          </w:p>
        </w:tc>
        <w:tc>
          <w:tcPr>
            <w:tcW w:w="2270" w:type="dxa"/>
            <w:vAlign w:val="center"/>
          </w:tcPr>
          <w:p w14:paraId="6C5EAB2A">
            <w:pPr>
              <w:pStyle w:val="3"/>
              <w:snapToGrid w:val="0"/>
              <w:spacing w:line="240" w:lineRule="auto"/>
              <w:ind w:firstLine="0" w:firstLineChars="0"/>
              <w:rPr>
                <w:rFonts w:hint="eastAsia" w:hAnsi="宋体"/>
                <w:sz w:val="18"/>
                <w:szCs w:val="21"/>
              </w:rPr>
            </w:pPr>
            <w:r>
              <w:rPr>
                <w:rFonts w:hint="eastAsia" w:hAnsi="宋体"/>
                <w:sz w:val="18"/>
                <w:szCs w:val="21"/>
              </w:rPr>
              <w:t>一种含泥固体钾盐矿的浮选脱泥工艺</w:t>
            </w:r>
          </w:p>
        </w:tc>
        <w:tc>
          <w:tcPr>
            <w:tcW w:w="1134" w:type="dxa"/>
            <w:vAlign w:val="center"/>
          </w:tcPr>
          <w:p w14:paraId="06D95C14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发明专利</w:t>
            </w:r>
          </w:p>
        </w:tc>
        <w:tc>
          <w:tcPr>
            <w:tcW w:w="992" w:type="dxa"/>
            <w:vAlign w:val="center"/>
          </w:tcPr>
          <w:p w14:paraId="5BAE1B71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ZL201110042043.2</w:t>
            </w:r>
          </w:p>
        </w:tc>
        <w:tc>
          <w:tcPr>
            <w:tcW w:w="1152" w:type="dxa"/>
            <w:vAlign w:val="center"/>
          </w:tcPr>
          <w:p w14:paraId="415FB663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2013/1/9</w:t>
            </w:r>
          </w:p>
        </w:tc>
        <w:tc>
          <w:tcPr>
            <w:tcW w:w="1399" w:type="dxa"/>
            <w:vAlign w:val="center"/>
          </w:tcPr>
          <w:p w14:paraId="0FE4C2DE">
            <w:pPr>
              <w:pStyle w:val="7"/>
              <w:widowControl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中蓝长化工程科技有限公司</w:t>
            </w:r>
          </w:p>
        </w:tc>
        <w:tc>
          <w:tcPr>
            <w:tcW w:w="2410" w:type="dxa"/>
            <w:vAlign w:val="center"/>
          </w:tcPr>
          <w:p w14:paraId="56147C63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甘顺鹏、季荣、孙成高、汤建良、刘小力、郑贤福</w:t>
            </w:r>
          </w:p>
        </w:tc>
      </w:tr>
      <w:tr w14:paraId="081C45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686" w:type="dxa"/>
            <w:vAlign w:val="center"/>
          </w:tcPr>
          <w:p w14:paraId="4DB27305">
            <w:pPr>
              <w:pStyle w:val="3"/>
              <w:snapToGrid w:val="0"/>
              <w:spacing w:line="240" w:lineRule="auto"/>
              <w:ind w:firstLine="0" w:firstLineChars="0"/>
              <w:jc w:val="center"/>
              <w:rPr>
                <w:rFonts w:hint="eastAsia" w:hAnsi="宋体"/>
                <w:sz w:val="18"/>
                <w:szCs w:val="21"/>
              </w:rPr>
            </w:pPr>
            <w:r>
              <w:rPr>
                <w:rFonts w:hint="eastAsia" w:hAnsi="宋体"/>
                <w:sz w:val="18"/>
                <w:szCs w:val="21"/>
              </w:rPr>
              <w:t>4</w:t>
            </w:r>
          </w:p>
        </w:tc>
        <w:tc>
          <w:tcPr>
            <w:tcW w:w="2270" w:type="dxa"/>
            <w:vAlign w:val="center"/>
          </w:tcPr>
          <w:p w14:paraId="51F36227">
            <w:pPr>
              <w:pStyle w:val="3"/>
              <w:snapToGrid w:val="0"/>
              <w:spacing w:line="240" w:lineRule="auto"/>
              <w:ind w:firstLine="0" w:firstLineChars="0"/>
              <w:rPr>
                <w:rFonts w:hint="eastAsia" w:hAnsi="宋体"/>
                <w:sz w:val="18"/>
                <w:szCs w:val="21"/>
              </w:rPr>
            </w:pPr>
            <w:r>
              <w:rPr>
                <w:rFonts w:hint="eastAsia" w:hAnsi="宋体"/>
                <w:sz w:val="18"/>
                <w:szCs w:val="21"/>
              </w:rPr>
              <w:t>一种从原生钾石盐矿中提取氯化钾的工艺</w:t>
            </w:r>
          </w:p>
        </w:tc>
        <w:tc>
          <w:tcPr>
            <w:tcW w:w="1134" w:type="dxa"/>
            <w:vAlign w:val="center"/>
          </w:tcPr>
          <w:p w14:paraId="01095C1F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发明专利</w:t>
            </w:r>
          </w:p>
        </w:tc>
        <w:tc>
          <w:tcPr>
            <w:tcW w:w="992" w:type="dxa"/>
            <w:vAlign w:val="center"/>
          </w:tcPr>
          <w:p w14:paraId="5F1FBE97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ZL201010519195.2</w:t>
            </w:r>
          </w:p>
        </w:tc>
        <w:tc>
          <w:tcPr>
            <w:tcW w:w="1152" w:type="dxa"/>
            <w:vAlign w:val="center"/>
          </w:tcPr>
          <w:p w14:paraId="5FDFA2F0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2012/8/1</w:t>
            </w:r>
          </w:p>
        </w:tc>
        <w:tc>
          <w:tcPr>
            <w:tcW w:w="1399" w:type="dxa"/>
            <w:vAlign w:val="center"/>
          </w:tcPr>
          <w:p w14:paraId="217AAEB3">
            <w:pPr>
              <w:pStyle w:val="7"/>
              <w:widowControl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中蓝长化工程科技有限公司</w:t>
            </w:r>
          </w:p>
        </w:tc>
        <w:tc>
          <w:tcPr>
            <w:tcW w:w="2410" w:type="dxa"/>
            <w:vAlign w:val="center"/>
          </w:tcPr>
          <w:p w14:paraId="7A8CD6E0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季荣、甘顺鹏、黄银广、汤建良、郑贤福、孙成高</w:t>
            </w:r>
          </w:p>
        </w:tc>
      </w:tr>
      <w:tr w14:paraId="2C6684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86" w:type="dxa"/>
            <w:vAlign w:val="center"/>
          </w:tcPr>
          <w:p w14:paraId="3F9064D3">
            <w:pPr>
              <w:pStyle w:val="3"/>
              <w:snapToGrid w:val="0"/>
              <w:spacing w:line="240" w:lineRule="auto"/>
              <w:ind w:firstLine="0" w:firstLineChars="0"/>
              <w:jc w:val="center"/>
              <w:rPr>
                <w:rFonts w:hint="eastAsia" w:hAnsi="宋体"/>
                <w:sz w:val="18"/>
                <w:szCs w:val="21"/>
              </w:rPr>
            </w:pPr>
            <w:r>
              <w:rPr>
                <w:rFonts w:hAnsi="宋体"/>
                <w:sz w:val="18"/>
                <w:szCs w:val="21"/>
              </w:rPr>
              <w:t>5</w:t>
            </w:r>
          </w:p>
        </w:tc>
        <w:tc>
          <w:tcPr>
            <w:tcW w:w="2270" w:type="dxa"/>
            <w:vAlign w:val="center"/>
          </w:tcPr>
          <w:p w14:paraId="2178B93D">
            <w:pPr>
              <w:pStyle w:val="3"/>
              <w:snapToGrid w:val="0"/>
              <w:spacing w:line="240" w:lineRule="auto"/>
              <w:ind w:firstLine="0" w:firstLineChars="0"/>
              <w:rPr>
                <w:rFonts w:hint="eastAsia" w:hAnsi="宋体"/>
                <w:sz w:val="18"/>
                <w:szCs w:val="21"/>
              </w:rPr>
            </w:pPr>
            <w:r>
              <w:rPr>
                <w:rFonts w:hint="eastAsia" w:hAnsi="宋体"/>
                <w:sz w:val="18"/>
                <w:szCs w:val="21"/>
              </w:rPr>
              <w:t>一种钾盐工业用机械结晶器</w:t>
            </w:r>
          </w:p>
        </w:tc>
        <w:tc>
          <w:tcPr>
            <w:tcW w:w="1134" w:type="dxa"/>
            <w:vAlign w:val="center"/>
          </w:tcPr>
          <w:p w14:paraId="2F6710AF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发明专利</w:t>
            </w:r>
          </w:p>
        </w:tc>
        <w:tc>
          <w:tcPr>
            <w:tcW w:w="992" w:type="dxa"/>
            <w:vAlign w:val="center"/>
          </w:tcPr>
          <w:p w14:paraId="1FF7D3E8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ZL201610151720.7</w:t>
            </w:r>
          </w:p>
        </w:tc>
        <w:tc>
          <w:tcPr>
            <w:tcW w:w="1152" w:type="dxa"/>
            <w:vAlign w:val="center"/>
          </w:tcPr>
          <w:p w14:paraId="018925F4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2017/8/25</w:t>
            </w:r>
          </w:p>
        </w:tc>
        <w:tc>
          <w:tcPr>
            <w:tcW w:w="1399" w:type="dxa"/>
            <w:vAlign w:val="center"/>
          </w:tcPr>
          <w:p w14:paraId="0581BDBD">
            <w:pPr>
              <w:pStyle w:val="7"/>
              <w:widowControl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中蓝长化工程科技有限公司</w:t>
            </w:r>
          </w:p>
        </w:tc>
        <w:tc>
          <w:tcPr>
            <w:tcW w:w="2410" w:type="dxa"/>
            <w:vAlign w:val="center"/>
          </w:tcPr>
          <w:p w14:paraId="5D58A2B3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甘顺鹏、季荣、汤建良、卢志斌、胡勇、蒋世鹏、于海</w:t>
            </w:r>
          </w:p>
        </w:tc>
      </w:tr>
      <w:tr w14:paraId="4F45EB7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86" w:type="dxa"/>
            <w:vAlign w:val="center"/>
          </w:tcPr>
          <w:p w14:paraId="73F04AAE">
            <w:pPr>
              <w:pStyle w:val="3"/>
              <w:snapToGrid w:val="0"/>
              <w:spacing w:line="240" w:lineRule="auto"/>
              <w:ind w:firstLine="0" w:firstLineChars="0"/>
              <w:jc w:val="center"/>
              <w:rPr>
                <w:rFonts w:hint="eastAsia" w:hAnsi="宋体"/>
                <w:sz w:val="18"/>
                <w:szCs w:val="21"/>
              </w:rPr>
            </w:pPr>
            <w:r>
              <w:rPr>
                <w:rFonts w:hAnsi="宋体"/>
                <w:sz w:val="18"/>
                <w:szCs w:val="21"/>
              </w:rPr>
              <w:t>6</w:t>
            </w:r>
          </w:p>
        </w:tc>
        <w:tc>
          <w:tcPr>
            <w:tcW w:w="2270" w:type="dxa"/>
            <w:vAlign w:val="center"/>
          </w:tcPr>
          <w:p w14:paraId="646DFB2E">
            <w:pPr>
              <w:pStyle w:val="3"/>
              <w:snapToGrid w:val="0"/>
              <w:spacing w:line="240" w:lineRule="auto"/>
              <w:ind w:firstLine="0" w:firstLineChars="0"/>
              <w:rPr>
                <w:rFonts w:hint="eastAsia" w:hAnsi="宋体"/>
                <w:sz w:val="18"/>
                <w:szCs w:val="21"/>
              </w:rPr>
            </w:pPr>
            <w:r>
              <w:rPr>
                <w:rFonts w:hint="eastAsia" w:hAnsi="宋体"/>
                <w:sz w:val="18"/>
                <w:szCs w:val="21"/>
              </w:rPr>
              <w:t>一种高镁低钾硫酸盐型卤水的盐田摊晒工艺</w:t>
            </w:r>
          </w:p>
        </w:tc>
        <w:tc>
          <w:tcPr>
            <w:tcW w:w="1134" w:type="dxa"/>
            <w:vAlign w:val="center"/>
          </w:tcPr>
          <w:p w14:paraId="6A4A0B38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发明专利</w:t>
            </w:r>
          </w:p>
        </w:tc>
        <w:tc>
          <w:tcPr>
            <w:tcW w:w="992" w:type="dxa"/>
            <w:vAlign w:val="center"/>
          </w:tcPr>
          <w:p w14:paraId="359D58AF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ZL201710548077.6</w:t>
            </w:r>
          </w:p>
        </w:tc>
        <w:tc>
          <w:tcPr>
            <w:tcW w:w="1152" w:type="dxa"/>
            <w:vAlign w:val="center"/>
          </w:tcPr>
          <w:p w14:paraId="705FF648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2019/1/11</w:t>
            </w:r>
          </w:p>
        </w:tc>
        <w:tc>
          <w:tcPr>
            <w:tcW w:w="1399" w:type="dxa"/>
            <w:vAlign w:val="center"/>
          </w:tcPr>
          <w:p w14:paraId="2C7817A7">
            <w:pPr>
              <w:pStyle w:val="7"/>
              <w:widowControl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中蓝长化工程科技有限公司</w:t>
            </w:r>
          </w:p>
        </w:tc>
        <w:tc>
          <w:tcPr>
            <w:tcW w:w="2410" w:type="dxa"/>
            <w:vAlign w:val="center"/>
          </w:tcPr>
          <w:p w14:paraId="16301FF0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孙成高、夏适、谢超、季荣、冯文平</w:t>
            </w:r>
          </w:p>
        </w:tc>
      </w:tr>
      <w:tr w14:paraId="43B9449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686" w:type="dxa"/>
            <w:vAlign w:val="center"/>
          </w:tcPr>
          <w:p w14:paraId="4868082E">
            <w:pPr>
              <w:pStyle w:val="3"/>
              <w:snapToGrid w:val="0"/>
              <w:spacing w:line="240" w:lineRule="auto"/>
              <w:ind w:firstLine="0" w:firstLineChars="0"/>
              <w:jc w:val="center"/>
              <w:rPr>
                <w:rFonts w:hint="eastAsia" w:hAnsi="宋体"/>
                <w:sz w:val="18"/>
                <w:szCs w:val="21"/>
              </w:rPr>
            </w:pPr>
            <w:r>
              <w:rPr>
                <w:rFonts w:hAnsi="宋体"/>
                <w:sz w:val="18"/>
                <w:szCs w:val="21"/>
              </w:rPr>
              <w:t>7</w:t>
            </w:r>
          </w:p>
        </w:tc>
        <w:tc>
          <w:tcPr>
            <w:tcW w:w="2270" w:type="dxa"/>
            <w:vAlign w:val="center"/>
          </w:tcPr>
          <w:p w14:paraId="5A0EAA85">
            <w:pPr>
              <w:pStyle w:val="3"/>
              <w:snapToGrid w:val="0"/>
              <w:spacing w:line="240" w:lineRule="auto"/>
              <w:ind w:firstLine="0" w:firstLineChars="0"/>
              <w:rPr>
                <w:rFonts w:hint="eastAsia" w:hAnsi="宋体"/>
                <w:sz w:val="18"/>
                <w:szCs w:val="21"/>
              </w:rPr>
            </w:pPr>
            <w:r>
              <w:rPr>
                <w:rFonts w:hint="eastAsia" w:hAnsi="宋体"/>
                <w:sz w:val="18"/>
                <w:szCs w:val="21"/>
              </w:rPr>
              <w:t>一种利用固体钾石盐原生矿浮选提取粗粒KCl的工艺</w:t>
            </w:r>
          </w:p>
        </w:tc>
        <w:tc>
          <w:tcPr>
            <w:tcW w:w="1134" w:type="dxa"/>
            <w:vAlign w:val="center"/>
          </w:tcPr>
          <w:p w14:paraId="7FB09A09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发明专利</w:t>
            </w:r>
          </w:p>
        </w:tc>
        <w:tc>
          <w:tcPr>
            <w:tcW w:w="992" w:type="dxa"/>
            <w:vAlign w:val="center"/>
          </w:tcPr>
          <w:p w14:paraId="351256C9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ZL201010536078.7</w:t>
            </w:r>
          </w:p>
        </w:tc>
        <w:tc>
          <w:tcPr>
            <w:tcW w:w="1152" w:type="dxa"/>
            <w:vAlign w:val="center"/>
          </w:tcPr>
          <w:p w14:paraId="1B983F41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2012/7/4</w:t>
            </w:r>
          </w:p>
        </w:tc>
        <w:tc>
          <w:tcPr>
            <w:tcW w:w="1399" w:type="dxa"/>
            <w:vAlign w:val="center"/>
          </w:tcPr>
          <w:p w14:paraId="3ABF591C">
            <w:pPr>
              <w:pStyle w:val="7"/>
              <w:widowControl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中蓝长化工程科技有限公司</w:t>
            </w:r>
          </w:p>
        </w:tc>
        <w:tc>
          <w:tcPr>
            <w:tcW w:w="2410" w:type="dxa"/>
            <w:vAlign w:val="center"/>
          </w:tcPr>
          <w:p w14:paraId="59CA5F5C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甘顺鹏、季荣、孙成高、黄银广、汤建良、郑贤福</w:t>
            </w:r>
          </w:p>
        </w:tc>
      </w:tr>
      <w:tr w14:paraId="3306E8A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686" w:type="dxa"/>
            <w:vAlign w:val="center"/>
          </w:tcPr>
          <w:p w14:paraId="3589D5A3">
            <w:pPr>
              <w:pStyle w:val="3"/>
              <w:snapToGrid w:val="0"/>
              <w:spacing w:line="240" w:lineRule="auto"/>
              <w:ind w:firstLine="0" w:firstLineChars="0"/>
              <w:jc w:val="center"/>
              <w:rPr>
                <w:rFonts w:hint="eastAsia" w:hAnsi="宋体"/>
                <w:sz w:val="18"/>
                <w:szCs w:val="21"/>
              </w:rPr>
            </w:pPr>
            <w:r>
              <w:rPr>
                <w:rFonts w:hAnsi="宋体"/>
                <w:sz w:val="18"/>
                <w:szCs w:val="21"/>
              </w:rPr>
              <w:t>8</w:t>
            </w:r>
          </w:p>
        </w:tc>
        <w:tc>
          <w:tcPr>
            <w:tcW w:w="2270" w:type="dxa"/>
            <w:vAlign w:val="center"/>
          </w:tcPr>
          <w:p w14:paraId="03D59434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一种低品位钾混盐的两段浮选工艺</w:t>
            </w:r>
          </w:p>
        </w:tc>
        <w:tc>
          <w:tcPr>
            <w:tcW w:w="1134" w:type="dxa"/>
            <w:vAlign w:val="center"/>
          </w:tcPr>
          <w:p w14:paraId="33A33508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发明专利</w:t>
            </w:r>
          </w:p>
        </w:tc>
        <w:tc>
          <w:tcPr>
            <w:tcW w:w="992" w:type="dxa"/>
            <w:vAlign w:val="center"/>
          </w:tcPr>
          <w:p w14:paraId="173638D8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ZL201410458477.4</w:t>
            </w:r>
          </w:p>
        </w:tc>
        <w:tc>
          <w:tcPr>
            <w:tcW w:w="1152" w:type="dxa"/>
            <w:vAlign w:val="center"/>
          </w:tcPr>
          <w:p w14:paraId="162F6E25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2017/7/28</w:t>
            </w:r>
          </w:p>
        </w:tc>
        <w:tc>
          <w:tcPr>
            <w:tcW w:w="1399" w:type="dxa"/>
            <w:vAlign w:val="center"/>
          </w:tcPr>
          <w:p w14:paraId="34A13358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中蓝长化工程科技有限公司</w:t>
            </w:r>
          </w:p>
        </w:tc>
        <w:tc>
          <w:tcPr>
            <w:tcW w:w="2410" w:type="dxa"/>
            <w:vAlign w:val="center"/>
          </w:tcPr>
          <w:p w14:paraId="273B8FC3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甘顺鹏、季荣、汤建良、郑贤福、李昱昀、罗稳、邹娟、杨三妹、刘雨星、夏适</w:t>
            </w:r>
          </w:p>
        </w:tc>
      </w:tr>
      <w:tr w14:paraId="17952CF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86" w:type="dxa"/>
            <w:vAlign w:val="center"/>
          </w:tcPr>
          <w:p w14:paraId="2B1947EF">
            <w:pPr>
              <w:pStyle w:val="3"/>
              <w:snapToGrid w:val="0"/>
              <w:spacing w:line="240" w:lineRule="auto"/>
              <w:ind w:firstLine="0" w:firstLineChars="0"/>
              <w:jc w:val="center"/>
              <w:rPr>
                <w:rFonts w:hint="eastAsia" w:hAnsi="宋体"/>
                <w:sz w:val="18"/>
                <w:szCs w:val="21"/>
              </w:rPr>
            </w:pPr>
            <w:r>
              <w:rPr>
                <w:rFonts w:hAnsi="宋体"/>
                <w:sz w:val="18"/>
                <w:szCs w:val="21"/>
              </w:rPr>
              <w:t>9</w:t>
            </w:r>
          </w:p>
        </w:tc>
        <w:tc>
          <w:tcPr>
            <w:tcW w:w="2270" w:type="dxa"/>
            <w:vAlign w:val="center"/>
          </w:tcPr>
          <w:p w14:paraId="03E964CF">
            <w:pPr>
              <w:pStyle w:val="3"/>
              <w:snapToGrid w:val="0"/>
              <w:spacing w:line="240" w:lineRule="auto"/>
              <w:ind w:firstLine="0" w:firstLineChars="0"/>
              <w:rPr>
                <w:rFonts w:hint="eastAsia" w:hAnsi="宋体"/>
                <w:sz w:val="18"/>
                <w:szCs w:val="21"/>
              </w:rPr>
            </w:pPr>
            <w:r>
              <w:rPr>
                <w:rFonts w:hAnsi="宋体"/>
                <w:sz w:val="18"/>
                <w:szCs w:val="21"/>
              </w:rPr>
              <w:t>冷冻法硝盐分离用结晶器</w:t>
            </w:r>
          </w:p>
        </w:tc>
        <w:tc>
          <w:tcPr>
            <w:tcW w:w="1134" w:type="dxa"/>
            <w:vAlign w:val="center"/>
          </w:tcPr>
          <w:p w14:paraId="2BCD0988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发明专利</w:t>
            </w:r>
          </w:p>
        </w:tc>
        <w:tc>
          <w:tcPr>
            <w:tcW w:w="992" w:type="dxa"/>
            <w:vAlign w:val="center"/>
          </w:tcPr>
          <w:p w14:paraId="73F35FF3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bookmarkStart w:id="10" w:name="OLE_LINK121"/>
            <w:bookmarkStart w:id="11" w:name="OLE_LINK122"/>
            <w:r>
              <w:rPr>
                <w:rFonts w:hint="eastAsia" w:ascii="仿宋_GB2312" w:hAnsi="宋体"/>
                <w:sz w:val="18"/>
                <w:szCs w:val="21"/>
              </w:rPr>
              <w:t>ZL</w:t>
            </w:r>
            <w:r>
              <w:rPr>
                <w:rFonts w:ascii="仿宋_GB2312" w:hAnsi="宋体"/>
                <w:sz w:val="18"/>
                <w:szCs w:val="21"/>
              </w:rPr>
              <w:t>201020576398.0</w:t>
            </w:r>
            <w:bookmarkEnd w:id="10"/>
            <w:bookmarkEnd w:id="11"/>
          </w:p>
        </w:tc>
        <w:tc>
          <w:tcPr>
            <w:tcW w:w="1152" w:type="dxa"/>
            <w:vAlign w:val="center"/>
          </w:tcPr>
          <w:p w14:paraId="5AB4DA4C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2</w:t>
            </w:r>
            <w:r>
              <w:rPr>
                <w:rFonts w:ascii="仿宋_GB2312" w:hAnsi="宋体"/>
                <w:sz w:val="18"/>
                <w:szCs w:val="21"/>
              </w:rPr>
              <w:t>011/6/22</w:t>
            </w:r>
          </w:p>
        </w:tc>
        <w:tc>
          <w:tcPr>
            <w:tcW w:w="1399" w:type="dxa"/>
            <w:vAlign w:val="center"/>
          </w:tcPr>
          <w:p w14:paraId="67277A89">
            <w:pPr>
              <w:pStyle w:val="7"/>
              <w:widowControl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天津科技大学</w:t>
            </w:r>
          </w:p>
        </w:tc>
        <w:tc>
          <w:tcPr>
            <w:tcW w:w="2410" w:type="dxa"/>
            <w:vAlign w:val="center"/>
          </w:tcPr>
          <w:p w14:paraId="7094CD4E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bookmarkStart w:id="12" w:name="OLE_LINK67"/>
            <w:bookmarkStart w:id="13" w:name="OLE_LINK68"/>
            <w:r>
              <w:rPr>
                <w:rFonts w:ascii="仿宋_GB2312" w:hAnsi="宋体"/>
                <w:sz w:val="18"/>
                <w:szCs w:val="21"/>
              </w:rPr>
              <w:t>沙作良</w:t>
            </w:r>
            <w:r>
              <w:rPr>
                <w:rFonts w:hint="eastAsia" w:ascii="仿宋_GB2312" w:hAnsi="宋体"/>
                <w:sz w:val="18"/>
                <w:szCs w:val="21"/>
              </w:rPr>
              <w:t>、</w:t>
            </w:r>
            <w:r>
              <w:rPr>
                <w:rFonts w:ascii="仿宋_GB2312" w:hAnsi="宋体"/>
                <w:sz w:val="18"/>
                <w:szCs w:val="21"/>
              </w:rPr>
              <w:t>袁建军</w:t>
            </w:r>
            <w:r>
              <w:rPr>
                <w:rFonts w:hint="eastAsia" w:ascii="仿宋_GB2312" w:hAnsi="宋体"/>
                <w:sz w:val="18"/>
                <w:szCs w:val="21"/>
              </w:rPr>
              <w:t>、</w:t>
            </w:r>
            <w:r>
              <w:rPr>
                <w:rFonts w:ascii="仿宋_GB2312" w:hAnsi="宋体"/>
                <w:sz w:val="18"/>
                <w:szCs w:val="21"/>
              </w:rPr>
              <w:t>王彦飞</w:t>
            </w:r>
            <w:r>
              <w:rPr>
                <w:rFonts w:hint="eastAsia" w:ascii="仿宋_GB2312" w:hAnsi="宋体"/>
                <w:sz w:val="18"/>
                <w:szCs w:val="21"/>
              </w:rPr>
              <w:t>、</w:t>
            </w:r>
            <w:r>
              <w:rPr>
                <w:rFonts w:ascii="仿宋_GB2312" w:hAnsi="宋体"/>
                <w:sz w:val="18"/>
                <w:szCs w:val="21"/>
              </w:rPr>
              <w:t>杨立斌</w:t>
            </w:r>
            <w:r>
              <w:rPr>
                <w:rFonts w:hint="eastAsia" w:ascii="仿宋_GB2312" w:hAnsi="宋体"/>
                <w:sz w:val="18"/>
                <w:szCs w:val="21"/>
              </w:rPr>
              <w:t>、</w:t>
            </w:r>
            <w:r>
              <w:rPr>
                <w:rFonts w:ascii="仿宋_GB2312" w:hAnsi="宋体"/>
                <w:sz w:val="18"/>
                <w:szCs w:val="21"/>
              </w:rPr>
              <w:t>张爱群</w:t>
            </w:r>
            <w:r>
              <w:rPr>
                <w:rFonts w:hint="eastAsia" w:ascii="仿宋_GB2312" w:hAnsi="宋体"/>
                <w:sz w:val="18"/>
                <w:szCs w:val="21"/>
              </w:rPr>
              <w:t>、</w:t>
            </w:r>
            <w:r>
              <w:rPr>
                <w:rFonts w:ascii="仿宋_GB2312" w:hAnsi="宋体"/>
                <w:sz w:val="18"/>
                <w:szCs w:val="21"/>
              </w:rPr>
              <w:t>朱亮</w:t>
            </w:r>
            <w:bookmarkEnd w:id="12"/>
            <w:bookmarkEnd w:id="13"/>
          </w:p>
        </w:tc>
      </w:tr>
      <w:tr w14:paraId="53CEF6F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686" w:type="dxa"/>
            <w:vAlign w:val="center"/>
          </w:tcPr>
          <w:p w14:paraId="50EB9EEE">
            <w:pPr>
              <w:pStyle w:val="3"/>
              <w:snapToGrid w:val="0"/>
              <w:spacing w:line="240" w:lineRule="auto"/>
              <w:ind w:firstLine="0" w:firstLineChars="0"/>
              <w:jc w:val="center"/>
              <w:rPr>
                <w:rFonts w:hint="eastAsia" w:hAnsi="宋体"/>
                <w:sz w:val="18"/>
                <w:szCs w:val="21"/>
              </w:rPr>
            </w:pPr>
            <w:r>
              <w:rPr>
                <w:rFonts w:hAnsi="宋体"/>
                <w:sz w:val="18"/>
                <w:szCs w:val="21"/>
              </w:rPr>
              <w:t>10</w:t>
            </w:r>
          </w:p>
        </w:tc>
        <w:tc>
          <w:tcPr>
            <w:tcW w:w="2270" w:type="dxa"/>
            <w:vAlign w:val="center"/>
          </w:tcPr>
          <w:p w14:paraId="7A3CF310">
            <w:pPr>
              <w:pStyle w:val="3"/>
              <w:snapToGrid w:val="0"/>
              <w:spacing w:line="240" w:lineRule="auto"/>
              <w:ind w:firstLine="0" w:firstLineChars="0"/>
              <w:rPr>
                <w:rFonts w:hint="eastAsia" w:hAnsi="宋体"/>
                <w:sz w:val="18"/>
                <w:szCs w:val="21"/>
              </w:rPr>
            </w:pPr>
            <w:r>
              <w:rPr>
                <w:rFonts w:hint="eastAsia" w:hAnsi="宋体"/>
                <w:sz w:val="18"/>
                <w:szCs w:val="21"/>
              </w:rPr>
              <w:t>Efficient flotation separation of picromerite and halite by a novel collector of sodium dodecyl benzene sulfonate</w:t>
            </w:r>
          </w:p>
        </w:tc>
        <w:tc>
          <w:tcPr>
            <w:tcW w:w="1134" w:type="dxa"/>
            <w:vAlign w:val="center"/>
          </w:tcPr>
          <w:p w14:paraId="0F45AE84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论文， Minerals Engineering</w:t>
            </w:r>
          </w:p>
        </w:tc>
        <w:tc>
          <w:tcPr>
            <w:tcW w:w="992" w:type="dxa"/>
            <w:vAlign w:val="center"/>
          </w:tcPr>
          <w:p w14:paraId="7F44C19C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2023, 202: 108278</w:t>
            </w:r>
          </w:p>
        </w:tc>
        <w:tc>
          <w:tcPr>
            <w:tcW w:w="1152" w:type="dxa"/>
            <w:vAlign w:val="center"/>
          </w:tcPr>
          <w:p w14:paraId="0BC47EB4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2023/8/8</w:t>
            </w:r>
          </w:p>
        </w:tc>
        <w:tc>
          <w:tcPr>
            <w:tcW w:w="1399" w:type="dxa"/>
            <w:vAlign w:val="center"/>
          </w:tcPr>
          <w:p w14:paraId="0C3D6AC7">
            <w:pPr>
              <w:pStyle w:val="7"/>
              <w:widowControl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武汉理工大学</w:t>
            </w:r>
          </w:p>
        </w:tc>
        <w:tc>
          <w:tcPr>
            <w:tcW w:w="2410" w:type="dxa"/>
            <w:vAlign w:val="center"/>
          </w:tcPr>
          <w:p w14:paraId="2B360E4A">
            <w:pPr>
              <w:pStyle w:val="7"/>
              <w:snapToGrid w:val="0"/>
              <w:rPr>
                <w:rFonts w:hint="eastAsia" w:ascii="仿宋_GB2312" w:hAnsi="宋体"/>
                <w:sz w:val="18"/>
                <w:szCs w:val="21"/>
              </w:rPr>
            </w:pPr>
            <w:r>
              <w:rPr>
                <w:rFonts w:hint="eastAsia" w:ascii="仿宋_GB2312" w:hAnsi="宋体"/>
                <w:sz w:val="18"/>
                <w:szCs w:val="21"/>
              </w:rPr>
              <w:t>Guangfeng Dong, Peng Chen, Jie Wu, Hao Yi, Tianxing Chen, Feifei Jia, Shaoxian Song（通讯作者：Hao Yi）</w:t>
            </w:r>
          </w:p>
        </w:tc>
      </w:tr>
    </w:tbl>
    <w:p w14:paraId="401D724B"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 w14:paraId="62B6F791">
      <w:pPr>
        <w:pStyle w:val="7"/>
        <w:widowControl/>
        <w:shd w:val="clear" w:color="auto" w:fill="FFFFFF"/>
        <w:spacing w:before="75" w:after="75"/>
        <w:ind w:firstLine="645"/>
        <w:jc w:val="right"/>
        <w:rPr>
          <w:rFonts w:eastAsia="仿宋_GB2312"/>
          <w:sz w:val="32"/>
          <w:szCs w:val="32"/>
        </w:rPr>
      </w:pPr>
    </w:p>
    <w:sectPr>
      <w:pgSz w:w="11906" w:h="16838"/>
      <w:pgMar w:top="1588" w:right="1134" w:bottom="1418" w:left="141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4E1"/>
    <w:rsid w:val="00005151"/>
    <w:rsid w:val="00006EE9"/>
    <w:rsid w:val="000210A2"/>
    <w:rsid w:val="00025123"/>
    <w:rsid w:val="00055874"/>
    <w:rsid w:val="00082A16"/>
    <w:rsid w:val="000973FD"/>
    <w:rsid w:val="000C57A1"/>
    <w:rsid w:val="000F0AC7"/>
    <w:rsid w:val="000F29FA"/>
    <w:rsid w:val="00115A03"/>
    <w:rsid w:val="00124E1E"/>
    <w:rsid w:val="001B7A9F"/>
    <w:rsid w:val="002058C3"/>
    <w:rsid w:val="00233333"/>
    <w:rsid w:val="0024498F"/>
    <w:rsid w:val="00271614"/>
    <w:rsid w:val="00281E9A"/>
    <w:rsid w:val="002C11EC"/>
    <w:rsid w:val="003915DB"/>
    <w:rsid w:val="003B33CF"/>
    <w:rsid w:val="003B469A"/>
    <w:rsid w:val="003B7ED5"/>
    <w:rsid w:val="003C7D9E"/>
    <w:rsid w:val="003D5684"/>
    <w:rsid w:val="004306E7"/>
    <w:rsid w:val="0043459D"/>
    <w:rsid w:val="004438FA"/>
    <w:rsid w:val="00444C52"/>
    <w:rsid w:val="004B0620"/>
    <w:rsid w:val="004D41E2"/>
    <w:rsid w:val="004E7C7C"/>
    <w:rsid w:val="00514DCF"/>
    <w:rsid w:val="005464EB"/>
    <w:rsid w:val="005510C6"/>
    <w:rsid w:val="0055744C"/>
    <w:rsid w:val="00575C74"/>
    <w:rsid w:val="00592803"/>
    <w:rsid w:val="005D0EC1"/>
    <w:rsid w:val="005E38B2"/>
    <w:rsid w:val="00674ABE"/>
    <w:rsid w:val="00695F30"/>
    <w:rsid w:val="006A0019"/>
    <w:rsid w:val="006D0979"/>
    <w:rsid w:val="006D6BBA"/>
    <w:rsid w:val="006F2B1C"/>
    <w:rsid w:val="006F54A2"/>
    <w:rsid w:val="007132F0"/>
    <w:rsid w:val="00726F0E"/>
    <w:rsid w:val="00776F6D"/>
    <w:rsid w:val="0086754B"/>
    <w:rsid w:val="008742E4"/>
    <w:rsid w:val="008C4FEF"/>
    <w:rsid w:val="008C75F8"/>
    <w:rsid w:val="008E637F"/>
    <w:rsid w:val="00921837"/>
    <w:rsid w:val="009477C1"/>
    <w:rsid w:val="00956FDD"/>
    <w:rsid w:val="00963D67"/>
    <w:rsid w:val="009B3FB1"/>
    <w:rsid w:val="009F33FA"/>
    <w:rsid w:val="00A256F5"/>
    <w:rsid w:val="00AE1207"/>
    <w:rsid w:val="00B05D11"/>
    <w:rsid w:val="00B114E1"/>
    <w:rsid w:val="00B45441"/>
    <w:rsid w:val="00B475CB"/>
    <w:rsid w:val="00B55835"/>
    <w:rsid w:val="00B87480"/>
    <w:rsid w:val="00BC607E"/>
    <w:rsid w:val="00BE21FE"/>
    <w:rsid w:val="00BE4958"/>
    <w:rsid w:val="00C15173"/>
    <w:rsid w:val="00C32B69"/>
    <w:rsid w:val="00C500F0"/>
    <w:rsid w:val="00C876CA"/>
    <w:rsid w:val="00CA7CE0"/>
    <w:rsid w:val="00CD7B58"/>
    <w:rsid w:val="00CF07DD"/>
    <w:rsid w:val="00CF31F6"/>
    <w:rsid w:val="00D05EDA"/>
    <w:rsid w:val="00D13E49"/>
    <w:rsid w:val="00D14A80"/>
    <w:rsid w:val="00D26CD0"/>
    <w:rsid w:val="00D4539E"/>
    <w:rsid w:val="00D535EA"/>
    <w:rsid w:val="00D7632D"/>
    <w:rsid w:val="00D76754"/>
    <w:rsid w:val="00D85E00"/>
    <w:rsid w:val="00D875B4"/>
    <w:rsid w:val="00DA7ED8"/>
    <w:rsid w:val="00DC4603"/>
    <w:rsid w:val="00DD1E6E"/>
    <w:rsid w:val="00DE12BB"/>
    <w:rsid w:val="00DE34DA"/>
    <w:rsid w:val="00DF378B"/>
    <w:rsid w:val="00E25505"/>
    <w:rsid w:val="00E60ED4"/>
    <w:rsid w:val="00E7508A"/>
    <w:rsid w:val="00E773B1"/>
    <w:rsid w:val="00E93344"/>
    <w:rsid w:val="00E947E2"/>
    <w:rsid w:val="00EC202B"/>
    <w:rsid w:val="00EC2B93"/>
    <w:rsid w:val="00F03338"/>
    <w:rsid w:val="00F82DAE"/>
    <w:rsid w:val="00F84DE9"/>
    <w:rsid w:val="00F8759A"/>
    <w:rsid w:val="00FA28DF"/>
    <w:rsid w:val="00FC266D"/>
    <w:rsid w:val="00FD2CA2"/>
    <w:rsid w:val="0A904426"/>
    <w:rsid w:val="0B701B7C"/>
    <w:rsid w:val="0E6F20D1"/>
    <w:rsid w:val="116C0B49"/>
    <w:rsid w:val="221B2F81"/>
    <w:rsid w:val="3AFE01B5"/>
    <w:rsid w:val="50D60ED9"/>
    <w:rsid w:val="54A83213"/>
    <w:rsid w:val="54BE47E5"/>
    <w:rsid w:val="55B73868"/>
    <w:rsid w:val="55C92372"/>
    <w:rsid w:val="5FFF3BA9"/>
    <w:rsid w:val="682151D4"/>
    <w:rsid w:val="69717C20"/>
    <w:rsid w:val="74827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3"/>
    <w:qFormat/>
    <w:uiPriority w:val="0"/>
    <w:pPr>
      <w:spacing w:line="360" w:lineRule="auto"/>
      <w:ind w:firstLine="480" w:firstLineChars="200"/>
    </w:pPr>
    <w:rPr>
      <w:rFonts w:ascii="仿宋_GB2312" w:hAnsi="Times New Roman" w:eastAsia="宋体" w:cs="Times New Roman"/>
      <w:sz w:val="24"/>
      <w:szCs w:val="24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rPr>
      <w:rFonts w:ascii="Times New Roman" w:hAnsi="Times New Roman" w:eastAsia="宋体" w:cs="Times New Roman"/>
      <w:sz w:val="24"/>
      <w:szCs w:val="24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10"/>
    <w:link w:val="5"/>
    <w:qFormat/>
    <w:uiPriority w:val="99"/>
    <w:rPr>
      <w:sz w:val="18"/>
      <w:szCs w:val="18"/>
    </w:rPr>
  </w:style>
  <w:style w:type="character" w:customStyle="1" w:styleId="13">
    <w:name w:val="纯文本 字符"/>
    <w:basedOn w:val="10"/>
    <w:link w:val="3"/>
    <w:qFormat/>
    <w:uiPriority w:val="0"/>
    <w:rPr>
      <w:rFonts w:ascii="仿宋_GB2312" w:hAnsi="Times New Roman" w:eastAsia="宋体" w:cs="Times New Roman"/>
      <w:sz w:val="24"/>
      <w:szCs w:val="24"/>
    </w:rPr>
  </w:style>
  <w:style w:type="character" w:customStyle="1" w:styleId="14">
    <w:name w:val="批注框文本 字符"/>
    <w:basedOn w:val="10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1555</Words>
  <Characters>1999</Characters>
  <Lines>57</Lines>
  <Paragraphs>109</Paragraphs>
  <TotalTime>349</TotalTime>
  <ScaleCrop>false</ScaleCrop>
  <LinksUpToDate>false</LinksUpToDate>
  <CharactersWithSpaces>2070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2025-08-12T03:49:00Z</dcterms:created>
  <dc:creator>user</dc:creator>
  <cp:lastModifiedBy>刘胜斌</cp:lastModifiedBy>
  <cp:lastPrinted>2024-06-06T08:01:00Z</cp:lastPrinted>
  <dcterms:modified xsi:type="dcterms:W3CDTF">2025-08-19T11:56:35Z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eyJoZGlkIjoiM2E5OTU5NWZjMWU4M2NiMjkzYWVkYmQyYzExMWIwMGUiLCJ1c2VySWQiOiIxNjkwMjkyNDgwIn0=</vt:lpwstr>
  </property>
  <property fmtid="{D5CDD505-2E9C-101B-9397-08002B2CF9AE}" pid="3" name="KSOProductBuildVer">
    <vt:lpwstr>2052-12.1.0.19302</vt:lpwstr>
  </property>
  <property fmtid="{D5CDD505-2E9C-101B-9397-08002B2CF9AE}" pid="4" name="ICV">
    <vt:lpwstr>6E6DD65319D34489A530A1A0605F4D33_13</vt:lpwstr>
  </property>
</Properties>
</file>